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63E82E39" w14:textId="14FCE541" w:rsidR="00A4540D" w:rsidRPr="00C90B51" w:rsidRDefault="0007165E" w:rsidP="00A4540D">
            <w:pPr>
              <w:rPr>
                <w:b/>
              </w:rPr>
            </w:pPr>
            <w:r w:rsidRPr="00561F3D">
              <w:fldChar w:fldCharType="begin"/>
            </w:r>
            <w:r w:rsidRPr="00561F3D">
              <w:instrText xml:space="preserve"> DOCPROPERTY "CustomField.DocumentTypeBlank"\*CHARFORMAT \&lt;OawJumpToField value=0/&gt;</w:instrText>
            </w:r>
            <w:r w:rsidRPr="00561F3D">
              <w:rPr>
                <w:highlight w:val="white"/>
              </w:rPr>
              <w:fldChar w:fldCharType="end"/>
            </w:r>
            <w:r>
              <w:rPr>
                <w:b/>
              </w:rPr>
              <w:t xml:space="preserve"> </w:t>
            </w:r>
            <w:proofErr w:type="spellStart"/>
            <w:r>
              <w:rPr>
                <w:b/>
              </w:rPr>
              <w:t>UniBatch</w:t>
            </w:r>
            <w:proofErr w:type="spellEnd"/>
            <w:r>
              <w:rPr>
                <w:b/>
              </w:rPr>
              <w:t xml:space="preserve"> répond aux questions environnementales</w:t>
            </w:r>
          </w:p>
          <w:p w14:paraId="5D423EF6" w14:textId="77777777" w:rsidR="00A4540D" w:rsidRPr="00C90B51" w:rsidRDefault="00A4540D" w:rsidP="00A4540D">
            <w:pPr>
              <w:rPr>
                <w:b/>
              </w:rPr>
            </w:pPr>
            <w:r>
              <w:rPr>
                <w:b/>
              </w:rPr>
              <w:t>Plant Excels While Regulators Watch</w:t>
            </w:r>
          </w:p>
          <w:p w14:paraId="51763FAE" w14:textId="77777777" w:rsidR="00A4540D" w:rsidRDefault="00A4540D" w:rsidP="00A4540D"/>
          <w:p w14:paraId="4075C7A9" w14:textId="2971BFF1" w:rsidR="00A4540D" w:rsidRPr="002048F6" w:rsidRDefault="00A4540D" w:rsidP="00A4540D">
            <w:pPr>
              <w:rPr>
                <w:color w:val="000000" w:themeColor="text1"/>
              </w:rPr>
            </w:pPr>
            <w:bookmarkStart w:id="0" w:name="_GoBack"/>
            <w:r w:rsidRPr="002048F6">
              <w:rPr>
                <w:color w:val="000000" w:themeColor="text1"/>
              </w:rPr>
              <w:t xml:space="preserve">Darryl Byrne a été </w:t>
            </w:r>
            <w:r w:rsidR="007646AE" w:rsidRPr="002048F6">
              <w:rPr>
                <w:color w:val="000000" w:themeColor="text1"/>
              </w:rPr>
              <w:t xml:space="preserve">l’initiateur de </w:t>
            </w:r>
            <w:r w:rsidRPr="002048F6">
              <w:rPr>
                <w:color w:val="000000" w:themeColor="text1"/>
              </w:rPr>
              <w:t>l’achat de plusieurs postes d’enrobage au cours de sa carrière. Il sait qu’une décision d’achat ne se prend pas à la légère, surtout sous la surveillance d’autorités environnementales et de résidents.</w:t>
            </w:r>
          </w:p>
          <w:p w14:paraId="017962E2" w14:textId="77777777" w:rsidR="00A4540D" w:rsidRPr="002048F6" w:rsidRDefault="00A4540D" w:rsidP="00A4540D">
            <w:pPr>
              <w:rPr>
                <w:color w:val="000000" w:themeColor="text1"/>
              </w:rPr>
            </w:pPr>
          </w:p>
          <w:p w14:paraId="28D32C54" w14:textId="16305888" w:rsidR="00A4540D" w:rsidRPr="002048F6" w:rsidRDefault="00A4540D" w:rsidP="00A4540D">
            <w:pPr>
              <w:rPr>
                <w:color w:val="000000" w:themeColor="text1"/>
              </w:rPr>
            </w:pPr>
            <w:r w:rsidRPr="002048F6">
              <w:rPr>
                <w:color w:val="000000" w:themeColor="text1"/>
              </w:rPr>
              <w:t xml:space="preserve">« Nous n’avons pas précipité la décision », explique Byrne, </w:t>
            </w:r>
            <w:r w:rsidR="007646AE" w:rsidRPr="002048F6">
              <w:rPr>
                <w:color w:val="000000" w:themeColor="text1"/>
              </w:rPr>
              <w:t>D</w:t>
            </w:r>
            <w:r w:rsidRPr="002048F6">
              <w:rPr>
                <w:color w:val="000000" w:themeColor="text1"/>
              </w:rPr>
              <w:t xml:space="preserve">irecteur de </w:t>
            </w:r>
            <w:proofErr w:type="spellStart"/>
            <w:r w:rsidRPr="002048F6">
              <w:rPr>
                <w:color w:val="000000" w:themeColor="text1"/>
              </w:rPr>
              <w:t>Roadworx</w:t>
            </w:r>
            <w:proofErr w:type="spellEnd"/>
            <w:r w:rsidRPr="002048F6">
              <w:rPr>
                <w:color w:val="000000" w:themeColor="text1"/>
              </w:rPr>
              <w:t>, fournisseur australien de services de maintenance routière basé à Sydney. « Nous avons fait des recherches pendant plusieurs années. »</w:t>
            </w:r>
          </w:p>
          <w:p w14:paraId="48585D25" w14:textId="77777777" w:rsidR="00A4540D" w:rsidRPr="002048F6" w:rsidRDefault="00A4540D" w:rsidP="00A4540D">
            <w:pPr>
              <w:rPr>
                <w:color w:val="000000" w:themeColor="text1"/>
              </w:rPr>
            </w:pPr>
          </w:p>
          <w:p w14:paraId="00FA367D" w14:textId="77777777" w:rsidR="00A4540D" w:rsidRPr="002048F6" w:rsidRDefault="00A4540D" w:rsidP="00A4540D">
            <w:pPr>
              <w:rPr>
                <w:color w:val="000000" w:themeColor="text1"/>
              </w:rPr>
            </w:pPr>
            <w:r w:rsidRPr="002048F6">
              <w:rPr>
                <w:color w:val="000000" w:themeColor="text1"/>
              </w:rPr>
              <w:t>Les efforts ont payé. En novembre 2015, Roadworx a fait l’acquisition d’un nouveau poste d’enrobage UniBatch ABA d’Ammann à Wollongong, à environ une heure au sud de Sydney. Depuis plus de vingt ans, Roadworx fournit des solutions d’infrastructure à des conseils locaux, des ministères ainsi que des entreprises publiques et privées.</w:t>
            </w:r>
          </w:p>
          <w:p w14:paraId="1A0913B5" w14:textId="77777777" w:rsidR="00A4540D" w:rsidRPr="002048F6" w:rsidRDefault="00A4540D" w:rsidP="00A4540D">
            <w:pPr>
              <w:rPr>
                <w:color w:val="000000" w:themeColor="text1"/>
              </w:rPr>
            </w:pPr>
          </w:p>
          <w:p w14:paraId="6945C65E" w14:textId="77777777" w:rsidR="00A4540D" w:rsidRPr="002048F6" w:rsidRDefault="00A4540D" w:rsidP="00A4540D">
            <w:pPr>
              <w:rPr>
                <w:color w:val="000000" w:themeColor="text1"/>
              </w:rPr>
            </w:pPr>
            <w:r w:rsidRPr="002048F6">
              <w:rPr>
                <w:color w:val="000000" w:themeColor="text1"/>
              </w:rPr>
              <w:t>Le poste UniBatch offre toutes les fonctions environnementales que Roadworx cherchait, notamment la possibilité d’utiliser de l’asphalte recyclé ainsi que des options qui réduisent nettement le bruit et l’odeur.</w:t>
            </w:r>
          </w:p>
          <w:p w14:paraId="34D7F1A8" w14:textId="77777777" w:rsidR="00A4540D" w:rsidRPr="002048F6" w:rsidRDefault="00A4540D" w:rsidP="00A4540D">
            <w:pPr>
              <w:rPr>
                <w:color w:val="000000" w:themeColor="text1"/>
              </w:rPr>
            </w:pPr>
          </w:p>
          <w:p w14:paraId="5B5E9298" w14:textId="77777777" w:rsidR="00A4540D" w:rsidRPr="002048F6" w:rsidRDefault="00A4540D" w:rsidP="00A4540D">
            <w:pPr>
              <w:rPr>
                <w:b/>
                <w:color w:val="000000" w:themeColor="text1"/>
              </w:rPr>
            </w:pPr>
            <w:r w:rsidRPr="002048F6">
              <w:rPr>
                <w:b/>
                <w:color w:val="000000" w:themeColor="text1"/>
              </w:rPr>
              <w:t>La recherche</w:t>
            </w:r>
          </w:p>
          <w:p w14:paraId="562AC5E2" w14:textId="77777777" w:rsidR="00A4540D" w:rsidRDefault="00A4540D" w:rsidP="00A4540D">
            <w:r w:rsidRPr="002048F6">
              <w:rPr>
                <w:color w:val="000000" w:themeColor="text1"/>
              </w:rPr>
              <w:t xml:space="preserve">Byrne et des collaborateurs de Roadworx ont fait plusieurs voyages en Europe, pour </w:t>
            </w:r>
            <w:bookmarkEnd w:id="0"/>
            <w:r>
              <w:t>visiter des chantiers où fonctionnaient des postes Ammann. « Cette démarche a été utile », explique Byrne. « C’est une chose de voir les postes sur une brochure, mais il est important de pouvoir en faire le tour et les voir fonctionner. »</w:t>
            </w:r>
          </w:p>
          <w:p w14:paraId="41F641D3" w14:textId="77777777" w:rsidR="00A4540D" w:rsidRDefault="00A4540D" w:rsidP="00A4540D"/>
          <w:p w14:paraId="1F480383" w14:textId="77777777" w:rsidR="00A4540D" w:rsidRDefault="00A4540D" w:rsidP="00A4540D">
            <w:r>
              <w:t>Ce qu’ils ont vu, c’est que le modèle UniBatch et ses prédécesseurs étaient productifs et répondaient aux besoins des clients. « Le mélange est de première qualité », souligne Byrne.</w:t>
            </w:r>
          </w:p>
          <w:p w14:paraId="28BB737C" w14:textId="77777777" w:rsidR="00A4540D" w:rsidRDefault="00A4540D" w:rsidP="00A4540D"/>
          <w:p w14:paraId="3A4A2D0C" w14:textId="77777777" w:rsidR="00A4540D" w:rsidRDefault="00A4540D" w:rsidP="00A4540D">
            <w:r>
              <w:t>Mais la satisfaction des clients n’était pas le seul enjeu. Le poste se trouvait dans une zone exposée aux regards.</w:t>
            </w:r>
          </w:p>
          <w:p w14:paraId="4AAEE666" w14:textId="77777777" w:rsidR="00A4540D" w:rsidRDefault="00A4540D" w:rsidP="00A4540D"/>
          <w:p w14:paraId="32C9A402" w14:textId="77777777" w:rsidR="00A4540D" w:rsidRDefault="00A4540D" w:rsidP="00A4540D">
            <w:r>
              <w:t>« L’Australie peut s’avérer très onéreuse en termes de normes environnementales », explique Byrne. Et pour rendre la situation encore plus complexe, un autre poste, d’un autre fabricant, se situait à proximité. Les résidents de la zone et d’autres membres de la communauté craignaient les émissions d’odeur et de bruit combinées des deux postes.</w:t>
            </w:r>
          </w:p>
          <w:p w14:paraId="7CA5A91B" w14:textId="77777777" w:rsidR="00A4540D" w:rsidRDefault="00A4540D" w:rsidP="00A4540D"/>
          <w:p w14:paraId="7A555C7A" w14:textId="77777777" w:rsidR="00A4540D" w:rsidRPr="00942C24" w:rsidRDefault="00A4540D" w:rsidP="00A4540D">
            <w:pPr>
              <w:rPr>
                <w:b/>
              </w:rPr>
            </w:pPr>
            <w:r>
              <w:rPr>
                <w:b/>
              </w:rPr>
              <w:t>Le projet</w:t>
            </w:r>
          </w:p>
          <w:p w14:paraId="37C9B546" w14:textId="77777777" w:rsidR="00A4540D" w:rsidRDefault="00A4540D" w:rsidP="00A4540D">
            <w:r>
              <w:t>Roadworx avait réponse à chaque question des résidents et des autorités. « Nous devions faire le maximum pour réduire l’impact », souligne Byrne. « Nous avons réuni toutes les options nécessaires sur le poste UniBatch. »</w:t>
            </w:r>
          </w:p>
          <w:p w14:paraId="503C0922" w14:textId="77777777" w:rsidR="00A4540D" w:rsidRDefault="00A4540D" w:rsidP="00A4540D"/>
          <w:p w14:paraId="2A373ADD" w14:textId="77777777" w:rsidR="00A4540D" w:rsidRDefault="00A4540D" w:rsidP="00A4540D">
            <w:r>
              <w:t>Des systèmes de réduction du bruit ont été utilisés, y compris l’installation d’un silencieux Ammapax. Un revêtement extérieur supplémentaire a contribué à la réduction du bruit et créé un look attrayant.</w:t>
            </w:r>
          </w:p>
          <w:p w14:paraId="23D9FE23" w14:textId="77777777" w:rsidR="00A4540D" w:rsidRDefault="00A4540D" w:rsidP="00A4540D"/>
          <w:p w14:paraId="7CF753FC" w14:textId="77777777" w:rsidR="00A4540D" w:rsidRDefault="00A4540D" w:rsidP="00A4540D">
            <w:r>
              <w:t>« Nous contrôlons le bruit, et les niveaux sont très, très bons », se réjouit Byrne.</w:t>
            </w:r>
          </w:p>
          <w:p w14:paraId="375DF17E" w14:textId="77777777" w:rsidR="00A4540D" w:rsidRDefault="00A4540D" w:rsidP="00A4540D"/>
          <w:p w14:paraId="2A064DDC" w14:textId="77777777" w:rsidR="00A4540D" w:rsidRDefault="00A4540D" w:rsidP="00A4540D">
            <w:r>
              <w:t>L’odeur constituait un autre défi. « Nous avons mis en place le système d’extraction des fumées bleues sur le poste », explique Byrne. Il dirige toute fumée et toute odeur dans le filtre.</w:t>
            </w:r>
          </w:p>
          <w:p w14:paraId="4EE5B7A7" w14:textId="77777777" w:rsidR="00A4540D" w:rsidRDefault="00A4540D" w:rsidP="00A4540D"/>
          <w:p w14:paraId="5DC36D7D" w14:textId="77777777" w:rsidR="00A4540D" w:rsidRDefault="00A4540D" w:rsidP="00A4540D">
            <w:r>
              <w:lastRenderedPageBreak/>
              <w:t>« L’odeur est minime sur le chantier », souligne Byrne. « Même le parc de réservoirs de bitume n’émet pas d’odeur. »</w:t>
            </w:r>
          </w:p>
          <w:p w14:paraId="2D4C3CDD" w14:textId="77777777" w:rsidR="00A4540D" w:rsidRDefault="00A4540D" w:rsidP="00A4540D"/>
          <w:p w14:paraId="60C7A5B4" w14:textId="77777777" w:rsidR="00A4540D" w:rsidRDefault="00A4540D" w:rsidP="00A4540D">
            <w:r>
              <w:t>Autre atout environnemental : l’utilisation du système as1 EcoView, logiciel propriétaire d’Ammann, qui gère la consommation énergétique de l’ensemble du poste, y compris le carburant et l’électricité. Ce logiciel dynamique rentabilise l’investissement tout en réduisant les émissions.</w:t>
            </w:r>
          </w:p>
          <w:p w14:paraId="662CC5CD" w14:textId="77777777" w:rsidR="00A4540D" w:rsidRDefault="00A4540D" w:rsidP="00A4540D"/>
          <w:p w14:paraId="5EAD3A63" w14:textId="77777777" w:rsidR="00A4540D" w:rsidRDefault="00A4540D" w:rsidP="00A4540D">
            <w:r>
              <w:t>« Les chiffres énergétiques du poste sont très bons, et même meilleurs que prévu », se réjouit Byrne. « Nous pouvons vraiment optimiser de nombreux réglages du poste pour réduire la consommation énergétique. »</w:t>
            </w:r>
          </w:p>
          <w:p w14:paraId="36A5DDE7" w14:textId="77777777" w:rsidR="00A4540D" w:rsidRDefault="00A4540D" w:rsidP="00A4540D"/>
          <w:p w14:paraId="143EBD03" w14:textId="77777777" w:rsidR="00A4540D" w:rsidRDefault="00A4540D" w:rsidP="00A4540D">
            <w:r>
              <w:t>Toutes ces fonctions ont fait la différence. « Nous fabriquons un produit de qualité, qui satisfait pleinement nos clients », résume Byrne. « Les résultats sont bons concernant le carburant utilisé par le brûleur et la consommation énergétique. Le poste en lui-même fonctionne extrêmement bien, tandis que le bruit et l’odeur ne posent aucun problème. De plus, l’assistance locale par Ammann Australie est exceptionnelle. »</w:t>
            </w:r>
          </w:p>
          <w:p w14:paraId="45E5EA9D" w14:textId="77777777" w:rsidR="00A4540D" w:rsidRDefault="00A4540D" w:rsidP="00A4540D"/>
          <w:p w14:paraId="206670AA" w14:textId="77777777" w:rsidR="00A4540D" w:rsidRDefault="00A4540D" w:rsidP="00A4540D"/>
          <w:p w14:paraId="7A53C706" w14:textId="1A56EEAE" w:rsidR="0007165E" w:rsidRPr="00561F3D" w:rsidRDefault="0007165E" w:rsidP="005E7CE4">
            <w:pPr>
              <w:pStyle w:val="Contact"/>
              <w:ind w:left="0" w:firstLine="0"/>
              <w:rPr>
                <w:highlight w:val="white"/>
              </w:rPr>
            </w:pPr>
          </w:p>
        </w:tc>
      </w:tr>
    </w:tbl>
    <w:p w14:paraId="191E34CD" w14:textId="77777777" w:rsidR="0007165E" w:rsidRPr="00561F3D" w:rsidRDefault="0007165E" w:rsidP="0007165E">
      <w:pPr>
        <w:pStyle w:val="BodyText"/>
      </w:pPr>
    </w:p>
    <w:tbl>
      <w:tblPr>
        <w:tblStyle w:val="TableGrid"/>
        <w:tblW w:w="9123" w:type="dxa"/>
        <w:tblLook w:val="04A0" w:firstRow="1" w:lastRow="0" w:firstColumn="1" w:lastColumn="0" w:noHBand="0" w:noVBand="1"/>
      </w:tblPr>
      <w:tblGrid>
        <w:gridCol w:w="3476"/>
        <w:gridCol w:w="5647"/>
      </w:tblGrid>
      <w:tr w:rsidR="00A4540D" w:rsidRPr="00561F3D" w14:paraId="3C905E43" w14:textId="77777777" w:rsidTr="00A4540D">
        <w:trPr>
          <w:trHeight w:val="1993"/>
        </w:trPr>
        <w:tc>
          <w:tcPr>
            <w:tcW w:w="3464" w:type="dxa"/>
          </w:tcPr>
          <w:p w14:paraId="36DC5485" w14:textId="363E5998" w:rsidR="0007165E" w:rsidRPr="008975CA" w:rsidRDefault="00A4540D" w:rsidP="00A4540D">
            <w:pPr>
              <w:pStyle w:val="BodyText"/>
              <w:spacing w:line="240" w:lineRule="auto"/>
              <w:rPr>
                <w:rFonts w:cs="Arial"/>
                <w:highlight w:val="red"/>
              </w:rPr>
            </w:pPr>
            <w:r>
              <w:rPr>
                <w:rFonts w:cs="Arial"/>
                <w:noProof/>
                <w:highlight w:val="red"/>
                <w:lang w:val="en-US" w:eastAsia="en-US" w:bidi="ar-SA"/>
              </w:rPr>
              <w:drawing>
                <wp:inline distT="0" distB="0" distL="0" distR="0" wp14:anchorId="34811E1A" wp14:editId="6DFB8D5A">
                  <wp:extent cx="2099310" cy="1399540"/>
                  <wp:effectExtent l="0" t="0" r="8890" b="0"/>
                  <wp:docPr id="1" name="Picture 1" descr="../Downloads/roadworx/DSC_1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roadworx/DSC_1979.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99310" cy="1399540"/>
                          </a:xfrm>
                          <a:prstGeom prst="rect">
                            <a:avLst/>
                          </a:prstGeom>
                          <a:noFill/>
                          <a:ln>
                            <a:noFill/>
                          </a:ln>
                        </pic:spPr>
                      </pic:pic>
                    </a:graphicData>
                  </a:graphic>
                </wp:inline>
              </w:drawing>
            </w:r>
            <w:r>
              <w:t xml:space="preserve"> </w:t>
            </w:r>
          </w:p>
        </w:tc>
        <w:tc>
          <w:tcPr>
            <w:tcW w:w="5659" w:type="dxa"/>
          </w:tcPr>
          <w:p w14:paraId="3DA34710" w14:textId="77777777" w:rsidR="0007165E" w:rsidRPr="00561F3D" w:rsidRDefault="0007165E" w:rsidP="00287B61">
            <w:pPr>
              <w:pStyle w:val="BodyText"/>
              <w:spacing w:line="240" w:lineRule="auto"/>
              <w:rPr>
                <w:rFonts w:cs="Arial"/>
                <w:i/>
                <w:sz w:val="16"/>
                <w:szCs w:val="16"/>
              </w:rPr>
            </w:pPr>
          </w:p>
          <w:p w14:paraId="628FAA97" w14:textId="10FFF04B" w:rsidR="0007165E" w:rsidRPr="00561F3D" w:rsidRDefault="00A4540D" w:rsidP="00A4540D">
            <w:pPr>
              <w:pStyle w:val="BodyText"/>
              <w:spacing w:line="240" w:lineRule="auto"/>
              <w:rPr>
                <w:rFonts w:cs="Arial"/>
                <w:i/>
                <w:sz w:val="16"/>
                <w:szCs w:val="16"/>
              </w:rPr>
            </w:pPr>
            <w:r>
              <w:rPr>
                <w:i/>
                <w:sz w:val="16"/>
              </w:rPr>
              <w:t>DSC_1979.JPG</w:t>
            </w:r>
          </w:p>
        </w:tc>
      </w:tr>
      <w:tr w:rsidR="00A4540D" w:rsidRPr="00561F3D" w14:paraId="4C57EB60" w14:textId="77777777" w:rsidTr="00A4540D">
        <w:trPr>
          <w:trHeight w:val="1993"/>
        </w:trPr>
        <w:tc>
          <w:tcPr>
            <w:tcW w:w="3464" w:type="dxa"/>
          </w:tcPr>
          <w:p w14:paraId="66429EB6" w14:textId="1807D821" w:rsidR="00A4540D" w:rsidRDefault="00A4540D" w:rsidP="00A4540D">
            <w:pPr>
              <w:pStyle w:val="BodyText"/>
              <w:spacing w:line="240" w:lineRule="auto"/>
              <w:rPr>
                <w:rFonts w:cs="Arial"/>
                <w:noProof/>
                <w:highlight w:val="red"/>
              </w:rPr>
            </w:pPr>
            <w:r>
              <w:rPr>
                <w:rFonts w:cs="Arial"/>
                <w:noProof/>
                <w:highlight w:val="red"/>
                <w:lang w:val="en-US" w:eastAsia="en-US" w:bidi="ar-SA"/>
              </w:rPr>
              <w:drawing>
                <wp:inline distT="0" distB="0" distL="0" distR="0" wp14:anchorId="23E88BB9" wp14:editId="7B198979">
                  <wp:extent cx="2108835" cy="1405890"/>
                  <wp:effectExtent l="0" t="4127" r="0" b="0"/>
                  <wp:docPr id="5" name="Picture 5" descr="../Downloads/roadworx/DSC_1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roadworx/DSC_19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108835" cy="1405890"/>
                          </a:xfrm>
                          <a:prstGeom prst="rect">
                            <a:avLst/>
                          </a:prstGeom>
                          <a:noFill/>
                          <a:ln>
                            <a:noFill/>
                          </a:ln>
                        </pic:spPr>
                      </pic:pic>
                    </a:graphicData>
                  </a:graphic>
                </wp:inline>
              </w:drawing>
            </w:r>
          </w:p>
        </w:tc>
        <w:tc>
          <w:tcPr>
            <w:tcW w:w="5659" w:type="dxa"/>
          </w:tcPr>
          <w:p w14:paraId="24CFA0C8" w14:textId="1912E739" w:rsidR="00A4540D" w:rsidRPr="00561F3D" w:rsidRDefault="00A4540D" w:rsidP="00287B61">
            <w:pPr>
              <w:pStyle w:val="BodyText"/>
              <w:spacing w:line="240" w:lineRule="auto"/>
              <w:rPr>
                <w:rFonts w:cs="Arial"/>
                <w:i/>
                <w:sz w:val="16"/>
                <w:szCs w:val="16"/>
              </w:rPr>
            </w:pPr>
            <w:r>
              <w:rPr>
                <w:i/>
                <w:sz w:val="16"/>
              </w:rPr>
              <w:t>DSC_1996.JPG</w:t>
            </w:r>
          </w:p>
        </w:tc>
      </w:tr>
      <w:tr w:rsidR="00A4540D" w:rsidRPr="00561F3D" w14:paraId="3CC578A6" w14:textId="77777777" w:rsidTr="00A4540D">
        <w:trPr>
          <w:trHeight w:val="2246"/>
        </w:trPr>
        <w:tc>
          <w:tcPr>
            <w:tcW w:w="3464" w:type="dxa"/>
          </w:tcPr>
          <w:p w14:paraId="47646C06" w14:textId="7D55E4E7" w:rsidR="00A4540D" w:rsidRDefault="00A4540D" w:rsidP="00A4540D">
            <w:pPr>
              <w:pStyle w:val="BodyText"/>
              <w:spacing w:line="240" w:lineRule="auto"/>
              <w:rPr>
                <w:rFonts w:cs="Arial"/>
                <w:noProof/>
                <w:highlight w:val="red"/>
              </w:rPr>
            </w:pPr>
            <w:r>
              <w:rPr>
                <w:rFonts w:cs="Arial"/>
                <w:noProof/>
                <w:highlight w:val="red"/>
                <w:lang w:val="en-US" w:eastAsia="en-US" w:bidi="ar-SA"/>
              </w:rPr>
              <w:lastRenderedPageBreak/>
              <w:drawing>
                <wp:inline distT="0" distB="0" distL="0" distR="0" wp14:anchorId="176B451F" wp14:editId="08238FB2">
                  <wp:extent cx="2108835" cy="1405890"/>
                  <wp:effectExtent l="0" t="0" r="0" b="0"/>
                  <wp:docPr id="6" name="Picture 6" descr="../Downloads/roadworx/DSC_2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roadworx/DSC_2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835" cy="1405890"/>
                          </a:xfrm>
                          <a:prstGeom prst="rect">
                            <a:avLst/>
                          </a:prstGeom>
                          <a:noFill/>
                          <a:ln>
                            <a:noFill/>
                          </a:ln>
                        </pic:spPr>
                      </pic:pic>
                    </a:graphicData>
                  </a:graphic>
                </wp:inline>
              </w:drawing>
            </w:r>
          </w:p>
        </w:tc>
        <w:tc>
          <w:tcPr>
            <w:tcW w:w="5659" w:type="dxa"/>
          </w:tcPr>
          <w:p w14:paraId="7290EC48" w14:textId="6704C7C0" w:rsidR="00A4540D" w:rsidRPr="00A4540D" w:rsidRDefault="00A4540D" w:rsidP="00287B61">
            <w:pPr>
              <w:pStyle w:val="BodyText"/>
              <w:spacing w:line="240" w:lineRule="auto"/>
              <w:rPr>
                <w:rFonts w:cs="Arial"/>
                <w:i/>
                <w:sz w:val="16"/>
                <w:szCs w:val="16"/>
              </w:rPr>
            </w:pPr>
            <w:r>
              <w:rPr>
                <w:i/>
                <w:sz w:val="16"/>
              </w:rPr>
              <w:t>DSC_2006.JPG</w:t>
            </w:r>
          </w:p>
        </w:tc>
      </w:tr>
      <w:tr w:rsidR="00A4540D" w:rsidRPr="00561F3D" w14:paraId="426A16F4" w14:textId="77777777" w:rsidTr="00A4540D">
        <w:trPr>
          <w:trHeight w:val="1993"/>
        </w:trPr>
        <w:tc>
          <w:tcPr>
            <w:tcW w:w="3464" w:type="dxa"/>
          </w:tcPr>
          <w:p w14:paraId="79D62BF7" w14:textId="13459B3E" w:rsidR="00A4540D" w:rsidRDefault="00A4540D" w:rsidP="00A4540D">
            <w:pPr>
              <w:pStyle w:val="BodyText"/>
              <w:spacing w:line="240" w:lineRule="auto"/>
              <w:rPr>
                <w:rFonts w:cs="Arial"/>
                <w:noProof/>
                <w:highlight w:val="red"/>
              </w:rPr>
            </w:pPr>
            <w:r>
              <w:rPr>
                <w:rFonts w:cs="Arial"/>
                <w:noProof/>
                <w:highlight w:val="red"/>
                <w:lang w:val="en-US" w:eastAsia="en-US" w:bidi="ar-SA"/>
              </w:rPr>
              <w:drawing>
                <wp:inline distT="0" distB="0" distL="0" distR="0" wp14:anchorId="33D3A2CC" wp14:editId="2C98BCE0">
                  <wp:extent cx="2135011" cy="1424940"/>
                  <wp:effectExtent l="0" t="0" r="0" b="0"/>
                  <wp:docPr id="7" name="Picture 7" descr="../Downloads/roadworx/DSC_2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s/roadworx/DSC_2125.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150585" cy="1435334"/>
                          </a:xfrm>
                          <a:prstGeom prst="rect">
                            <a:avLst/>
                          </a:prstGeom>
                          <a:noFill/>
                          <a:ln>
                            <a:noFill/>
                          </a:ln>
                        </pic:spPr>
                      </pic:pic>
                    </a:graphicData>
                  </a:graphic>
                </wp:inline>
              </w:drawing>
            </w:r>
          </w:p>
        </w:tc>
        <w:tc>
          <w:tcPr>
            <w:tcW w:w="5659" w:type="dxa"/>
          </w:tcPr>
          <w:p w14:paraId="286193A6" w14:textId="3D6FF0BC" w:rsidR="00A4540D" w:rsidRDefault="00A4540D" w:rsidP="00287B61">
            <w:pPr>
              <w:pStyle w:val="BodyText"/>
              <w:spacing w:line="240" w:lineRule="auto"/>
              <w:rPr>
                <w:rFonts w:cs="Arial"/>
                <w:i/>
                <w:sz w:val="16"/>
                <w:szCs w:val="16"/>
              </w:rPr>
            </w:pPr>
            <w:r>
              <w:rPr>
                <w:i/>
                <w:sz w:val="16"/>
              </w:rPr>
              <w:t>DSC_2125.JPG</w:t>
            </w: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Pr>
          <w:b/>
          <w:color w:val="000000"/>
        </w:rPr>
        <w:t>Contact</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t>Spécialiste MarCom pour les postes</w:t>
      </w:r>
    </w:p>
    <w:p w14:paraId="44A30619" w14:textId="0C201BF6" w:rsidR="0099017C" w:rsidRPr="0099017C" w:rsidRDefault="0099017C" w:rsidP="0099017C">
      <w:pPr>
        <w:widowControl w:val="0"/>
        <w:autoSpaceDE w:val="0"/>
        <w:autoSpaceDN w:val="0"/>
        <w:adjustRightInd w:val="0"/>
        <w:spacing w:line="240" w:lineRule="auto"/>
        <w:rPr>
          <w:rFonts w:cs="Arial"/>
          <w:szCs w:val="24"/>
        </w:rPr>
      </w:pPr>
      <w:r>
        <w:t>Ammann Switzerland Ltd</w:t>
      </w:r>
    </w:p>
    <w:p w14:paraId="3D2DBD1B" w14:textId="34654225" w:rsidR="0099017C" w:rsidRPr="0099017C" w:rsidRDefault="0099017C" w:rsidP="0099017C">
      <w:pPr>
        <w:widowControl w:val="0"/>
        <w:autoSpaceDE w:val="0"/>
        <w:autoSpaceDN w:val="0"/>
        <w:adjustRightInd w:val="0"/>
        <w:spacing w:line="240" w:lineRule="auto"/>
        <w:rPr>
          <w:rFonts w:cs="Arial"/>
          <w:szCs w:val="24"/>
        </w:rPr>
      </w:pPr>
      <w:r>
        <w:t>Eisenbahnstrasse 25</w:t>
      </w:r>
    </w:p>
    <w:p w14:paraId="1EBC8E5A" w14:textId="4BD4834C" w:rsidR="0099017C" w:rsidRPr="0099017C" w:rsidRDefault="0099017C" w:rsidP="0099017C">
      <w:pPr>
        <w:widowControl w:val="0"/>
        <w:autoSpaceDE w:val="0"/>
        <w:autoSpaceDN w:val="0"/>
        <w:adjustRightInd w:val="0"/>
        <w:spacing w:line="240" w:lineRule="auto"/>
        <w:rPr>
          <w:rFonts w:cs="Arial"/>
          <w:szCs w:val="24"/>
        </w:rPr>
      </w:pPr>
      <w:r>
        <w:t>4900 Langenthal</w:t>
      </w:r>
    </w:p>
    <w:p w14:paraId="42ADC87E" w14:textId="3929FED4" w:rsidR="0099017C" w:rsidRPr="0099017C" w:rsidRDefault="0099017C" w:rsidP="0099017C">
      <w:pPr>
        <w:widowControl w:val="0"/>
        <w:autoSpaceDE w:val="0"/>
        <w:autoSpaceDN w:val="0"/>
        <w:adjustRightInd w:val="0"/>
        <w:spacing w:line="240" w:lineRule="auto"/>
        <w:rPr>
          <w:rFonts w:cs="Arial"/>
          <w:szCs w:val="24"/>
        </w:rPr>
      </w:pPr>
      <w:r>
        <w:t>+41 62 916 61 61</w:t>
      </w:r>
    </w:p>
    <w:p w14:paraId="1FF173A6" w14:textId="38222AB9" w:rsidR="0099017C" w:rsidRDefault="0099017C" w:rsidP="0099017C">
      <w:pPr>
        <w:widowControl w:val="0"/>
        <w:autoSpaceDE w:val="0"/>
        <w:autoSpaceDN w:val="0"/>
        <w:adjustRightInd w:val="0"/>
        <w:spacing w:line="240" w:lineRule="auto"/>
        <w:rPr>
          <w:rFonts w:cs="Arial"/>
          <w:szCs w:val="24"/>
        </w:rPr>
      </w:pPr>
      <w:r>
        <w:t>simone.grogg@ammmann-group.com</w:t>
      </w:r>
    </w:p>
    <w:p w14:paraId="4C2E6755" w14:textId="77777777" w:rsidR="0099017C" w:rsidRPr="0099017C" w:rsidRDefault="0099017C" w:rsidP="0099017C">
      <w:pPr>
        <w:widowControl w:val="0"/>
        <w:autoSpaceDE w:val="0"/>
        <w:autoSpaceDN w:val="0"/>
        <w:adjustRightInd w:val="0"/>
        <w:spacing w:line="240" w:lineRule="auto"/>
        <w:rPr>
          <w:rFonts w:cs="Arial"/>
          <w:szCs w:val="24"/>
        </w:rPr>
      </w:pPr>
    </w:p>
    <w:p w14:paraId="11CDBA13" w14:textId="77777777" w:rsidR="0099017C" w:rsidRDefault="0099017C" w:rsidP="0007165E">
      <w:pPr>
        <w:spacing w:line="288" w:lineRule="auto"/>
        <w:rPr>
          <w:rFonts w:cs="Arial"/>
          <w:b/>
          <w:color w:val="000000"/>
          <w:szCs w:val="24"/>
        </w:rPr>
      </w:pPr>
    </w:p>
    <w:p w14:paraId="1DEAEDA7" w14:textId="77777777" w:rsidR="0007165E" w:rsidRPr="00561F3D" w:rsidRDefault="008975CA" w:rsidP="0007165E">
      <w:pPr>
        <w:spacing w:line="288" w:lineRule="auto"/>
        <w:rPr>
          <w:rFonts w:cs="Arial"/>
          <w:b/>
          <w:color w:val="000000"/>
          <w:szCs w:val="24"/>
        </w:rPr>
      </w:pPr>
      <w:r>
        <w:rPr>
          <w:b/>
          <w:color w:val="000000"/>
        </w:rPr>
        <w:t>Ammann en bref</w:t>
      </w:r>
    </w:p>
    <w:p w14:paraId="58ABD5EA" w14:textId="77777777" w:rsidR="0007165E" w:rsidRPr="00561F3D" w:rsidRDefault="0007165E" w:rsidP="0007165E">
      <w:pPr>
        <w:spacing w:line="288" w:lineRule="auto"/>
        <w:rPr>
          <w:rFonts w:cs="Arial"/>
          <w:szCs w:val="24"/>
        </w:rPr>
      </w:pPr>
      <w:r>
        <w:t xml:space="preserve">Ammann est une entreprise familiale depuis six générations qui fabrique des postes d’enrobage et des centrales à béton ainsi que des machines de compactage et des finisseurs sur neuf sites de production situés en Europe, en Chine, en Inde et au Brésil. Son cœur de compétence est la construction de routes et les infrastructures de transport. Consultez le site </w:t>
      </w:r>
      <w:hyperlink r:id="rId11">
        <w:r>
          <w:t>www.ammann-group.com</w:t>
        </w:r>
      </w:hyperlink>
      <w:r>
        <w:t xml:space="preserve"> pour plus d’informations.</w:t>
      </w:r>
    </w:p>
    <w:p w14:paraId="533A5F54" w14:textId="77777777" w:rsidR="00006FE2" w:rsidRDefault="00006FE2" w:rsidP="0007165E">
      <w:pPr>
        <w:pStyle w:val="Contact"/>
        <w:ind w:left="0" w:firstLine="0"/>
      </w:pPr>
    </w:p>
    <w:sectPr w:rsidR="00006FE2" w:rsidSect="00FC43B4">
      <w:headerReference w:type="default" r:id="rId12"/>
      <w:footerReference w:type="default" r:id="rId13"/>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A908C" w14:textId="77777777" w:rsidR="00444C94" w:rsidRDefault="00444C94" w:rsidP="0007165E">
      <w:pPr>
        <w:spacing w:line="240" w:lineRule="auto"/>
      </w:pPr>
      <w:r>
        <w:separator/>
      </w:r>
    </w:p>
  </w:endnote>
  <w:endnote w:type="continuationSeparator" w:id="0">
    <w:p w14:paraId="7DAC12EF" w14:textId="77777777" w:rsidR="00444C94" w:rsidRDefault="00444C94"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rPr>
      <w:t>Pour des services et informations produit supplémentaires, consultez : www.ammann-group.com</w:t>
    </w:r>
  </w:p>
  <w:p w14:paraId="23DFE833" w14:textId="77777777" w:rsidR="00FC43B4" w:rsidRPr="00FC43B4" w:rsidRDefault="00FC43B4" w:rsidP="00FC43B4">
    <w:pPr>
      <w:pStyle w:val="Footer"/>
      <w:rPr>
        <w:sz w:val="14"/>
        <w:szCs w:val="14"/>
      </w:rPr>
    </w:pPr>
    <w:r>
      <w:rPr>
        <w:sz w:val="14"/>
      </w:rPr>
      <w:t>Sous réserve de modifications.</w:t>
    </w:r>
  </w:p>
  <w:p w14:paraId="5FDBA399" w14:textId="747C346D" w:rsidR="00FC43B4" w:rsidRPr="00FC43B4" w:rsidRDefault="000C7F78" w:rsidP="00FC43B4">
    <w:pPr>
      <w:pStyle w:val="Footer"/>
      <w:rPr>
        <w:sz w:val="14"/>
        <w:szCs w:val="14"/>
      </w:rPr>
    </w:pPr>
    <w:r>
      <w:rPr>
        <w:sz w:val="14"/>
      </w:rPr>
      <w:t>PPI-1934-00-</w:t>
    </w:r>
    <w:r w:rsidR="00AF6720">
      <w:rPr>
        <w:sz w:val="14"/>
      </w:rPr>
      <w:t>FR</w:t>
    </w:r>
    <w:r>
      <w:rPr>
        <w:sz w:val="14"/>
      </w:rPr>
      <w:t>|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4DAAE" w14:textId="77777777" w:rsidR="00444C94" w:rsidRDefault="00444C94" w:rsidP="0007165E">
      <w:pPr>
        <w:spacing w:line="240" w:lineRule="auto"/>
      </w:pPr>
      <w:r>
        <w:separator/>
      </w:r>
    </w:p>
  </w:footnote>
  <w:footnote w:type="continuationSeparator" w:id="0">
    <w:p w14:paraId="5C164DBF" w14:textId="77777777" w:rsidR="00444C94" w:rsidRDefault="00444C94"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US" w:eastAsia="en-US"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94AB3"/>
    <w:rsid w:val="002048F6"/>
    <w:rsid w:val="0027068A"/>
    <w:rsid w:val="002F340A"/>
    <w:rsid w:val="00425AD7"/>
    <w:rsid w:val="00426799"/>
    <w:rsid w:val="00444C94"/>
    <w:rsid w:val="005E7CE4"/>
    <w:rsid w:val="00600FEA"/>
    <w:rsid w:val="00743D80"/>
    <w:rsid w:val="007646AE"/>
    <w:rsid w:val="00780528"/>
    <w:rsid w:val="007972C6"/>
    <w:rsid w:val="008212B4"/>
    <w:rsid w:val="00861E1F"/>
    <w:rsid w:val="0086605F"/>
    <w:rsid w:val="008975CA"/>
    <w:rsid w:val="0099017C"/>
    <w:rsid w:val="00995872"/>
    <w:rsid w:val="00A43C77"/>
    <w:rsid w:val="00A4540D"/>
    <w:rsid w:val="00A71803"/>
    <w:rsid w:val="00AD46B2"/>
    <w:rsid w:val="00AF18A1"/>
    <w:rsid w:val="00AF6720"/>
    <w:rsid w:val="00B85013"/>
    <w:rsid w:val="00CD2946"/>
    <w:rsid w:val="00D73CBC"/>
    <w:rsid w:val="00DB130B"/>
    <w:rsid w:val="00DD7F69"/>
    <w:rsid w:val="00E31D94"/>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fr-CH"/>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fr-CH" w:eastAsia="fr-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mann-group.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3933</Characters>
  <Application>Microsoft Macintosh Word</Application>
  <DocSecurity>0</DocSecurity>
  <Lines>32</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Ammann Schweiz AG</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Microsoft Office User</cp:lastModifiedBy>
  <cp:revision>2</cp:revision>
  <cp:lastPrinted>2015-09-04T14:07:00Z</cp:lastPrinted>
  <dcterms:created xsi:type="dcterms:W3CDTF">2016-12-05T14:24:00Z</dcterms:created>
  <dcterms:modified xsi:type="dcterms:W3CDTF">2016-12-05T14:24:00Z</dcterms:modified>
</cp:coreProperties>
</file>